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A73" w:rsidRDefault="00676A73" w:rsidP="00676A73">
      <w:pPr>
        <w:spacing w:after="0"/>
        <w:ind w:left="1089"/>
        <w:rPr>
          <w:rFonts w:ascii="Candara" w:hAnsi="Candara"/>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430"/>
        <w:gridCol w:w="23"/>
        <w:gridCol w:w="5737"/>
      </w:tblGrid>
      <w:tr w:rsidR="00676A73" w:rsidTr="00676A73">
        <w:trPr>
          <w:trHeight w:val="926"/>
        </w:trPr>
        <w:tc>
          <w:tcPr>
            <w:tcW w:w="2250" w:type="dxa"/>
            <w:vMerge w:val="restart"/>
            <w:tcBorders>
              <w:top w:val="double" w:sz="4" w:space="0" w:color="auto"/>
              <w:left w:val="double" w:sz="4" w:space="0" w:color="auto"/>
              <w:bottom w:val="double" w:sz="4" w:space="0" w:color="auto"/>
              <w:right w:val="double" w:sz="4" w:space="0" w:color="auto"/>
            </w:tcBorders>
            <w:vAlign w:val="center"/>
            <w:hideMark/>
          </w:tcPr>
          <w:p w:rsidR="00676A73" w:rsidRDefault="00676A73">
            <w:pPr>
              <w:spacing w:line="240" w:lineRule="auto"/>
              <w:jc w:val="center"/>
              <w:rPr>
                <w:rFonts w:ascii="Candara" w:hAnsi="Candara"/>
                <w:b/>
                <w:sz w:val="36"/>
                <w:szCs w:val="36"/>
              </w:rPr>
            </w:pPr>
            <w:r>
              <w:rPr>
                <w:rFonts w:ascii="Candara" w:hAnsi="Candara"/>
                <w:b/>
                <w:sz w:val="36"/>
                <w:szCs w:val="36"/>
              </w:rPr>
              <w:t>Course unit</w:t>
            </w:r>
          </w:p>
          <w:p w:rsidR="00676A73" w:rsidRDefault="00676A73">
            <w:pPr>
              <w:spacing w:line="240" w:lineRule="auto"/>
              <w:jc w:val="center"/>
              <w:rPr>
                <w:rFonts w:ascii="Candara" w:hAnsi="Candara"/>
                <w:b/>
                <w:sz w:val="32"/>
                <w:szCs w:val="32"/>
              </w:rPr>
            </w:pPr>
            <w:r>
              <w:rPr>
                <w:rFonts w:ascii="Candara" w:hAnsi="Candara"/>
                <w:b/>
                <w:sz w:val="36"/>
                <w:szCs w:val="36"/>
              </w:rPr>
              <w:t>Descriptor</w:t>
            </w:r>
          </w:p>
        </w:tc>
        <w:tc>
          <w:tcPr>
            <w:tcW w:w="2453" w:type="dxa"/>
            <w:gridSpan w:val="2"/>
            <w:tcBorders>
              <w:top w:val="double" w:sz="4" w:space="0" w:color="auto"/>
              <w:left w:val="double" w:sz="4" w:space="0" w:color="auto"/>
              <w:bottom w:val="double" w:sz="4" w:space="0" w:color="auto"/>
              <w:right w:val="double" w:sz="4" w:space="0" w:color="auto"/>
            </w:tcBorders>
            <w:vAlign w:val="center"/>
            <w:hideMark/>
          </w:tcPr>
          <w:p w:rsidR="00676A73" w:rsidRPr="00067D01" w:rsidRDefault="004D5D18">
            <w:pPr>
              <w:suppressAutoHyphens w:val="0"/>
              <w:spacing w:after="200" w:line="240" w:lineRule="auto"/>
              <w:contextualSpacing/>
              <w:jc w:val="left"/>
              <w:rPr>
                <w:rFonts w:ascii="Candara" w:hAnsi="Candara"/>
                <w:b/>
                <w:color w:val="548DD4"/>
                <w:sz w:val="32"/>
                <w:szCs w:val="32"/>
              </w:rPr>
            </w:pPr>
            <w:r w:rsidRPr="00067D01">
              <w:rPr>
                <w:rFonts w:ascii="Candara" w:hAnsi="Candara"/>
                <w:b/>
                <w:noProof/>
                <w:color w:val="548DD4"/>
                <w:sz w:val="32"/>
                <w:szCs w:val="32"/>
                <w:lang w:val="en-US" w:eastAsia="zh-TW"/>
              </w:rPr>
              <w:t>Faculty of Education</w:t>
            </w:r>
          </w:p>
        </w:tc>
        <w:tc>
          <w:tcPr>
            <w:tcW w:w="5737" w:type="dxa"/>
            <w:vMerge w:val="restart"/>
            <w:tcBorders>
              <w:top w:val="double" w:sz="4" w:space="0" w:color="auto"/>
              <w:left w:val="double" w:sz="4" w:space="0" w:color="auto"/>
              <w:bottom w:val="double" w:sz="4" w:space="0" w:color="auto"/>
              <w:right w:val="double" w:sz="4" w:space="0" w:color="auto"/>
            </w:tcBorders>
            <w:vAlign w:val="center"/>
          </w:tcPr>
          <w:p w:rsidR="00676A73" w:rsidRDefault="00905B24">
            <w:pPr>
              <w:suppressAutoHyphens w:val="0"/>
              <w:spacing w:after="200" w:line="276" w:lineRule="auto"/>
              <w:jc w:val="left"/>
              <w:rPr>
                <w:rFonts w:ascii="Candara" w:hAnsi="Candara"/>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166370</wp:posOffset>
                      </wp:positionH>
                      <wp:positionV relativeFrom="paragraph">
                        <wp:posOffset>55245</wp:posOffset>
                      </wp:positionV>
                      <wp:extent cx="3279140" cy="866140"/>
                      <wp:effectExtent l="4445" t="0" r="254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140" cy="866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6A73" w:rsidRDefault="00676A73" w:rsidP="00676A73">
                                  <w:r>
                                    <w:rPr>
                                      <w:rFonts w:ascii="Calibri" w:eastAsia="Calibri" w:hAnsi="Calibri"/>
                                      <w:noProof/>
                                      <w:lang w:val="en-US"/>
                                    </w:rPr>
                                    <w:drawing>
                                      <wp:inline distT="0" distB="0" distL="0" distR="0">
                                        <wp:extent cx="3001645" cy="527050"/>
                                        <wp:effectExtent l="19050" t="0" r="8255" b="0"/>
                                        <wp:docPr id="1" name="Picture 0" descr="logo_U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UNS.png"/>
                                                <pic:cNvPicPr>
                                                  <a:picLocks noChangeAspect="1" noChangeArrowheads="1"/>
                                                </pic:cNvPicPr>
                                              </pic:nvPicPr>
                                              <pic:blipFill>
                                                <a:blip r:embed="rId8"/>
                                                <a:srcRect/>
                                                <a:stretch>
                                                  <a:fillRect/>
                                                </a:stretch>
                                              </pic:blipFill>
                                              <pic:spPr bwMode="auto">
                                                <a:xfrm>
                                                  <a:off x="0" y="0"/>
                                                  <a:ext cx="3001645" cy="5270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4.35pt;width:258.2pt;height:6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65xfg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" stroked="f">
                      <v:textbox>
                        <w:txbxContent>
                          <w:p w:rsidR="00676A73" w:rsidRDefault="00676A73" w:rsidP="00676A73">
                            <w:r>
                              <w:rPr>
                                <w:rFonts w:ascii="Calibri" w:eastAsia="Calibri" w:hAnsi="Calibri"/>
                                <w:noProof/>
                                <w:lang w:val="en-US"/>
                              </w:rPr>
                              <w:drawing>
                                <wp:inline distT="0" distB="0" distL="0" distR="0">
                                  <wp:extent cx="3001645" cy="527050"/>
                                  <wp:effectExtent l="19050" t="0" r="8255" b="0"/>
                                  <wp:docPr id="1" name="Picture 0" descr="logo_U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UNS.png"/>
                                          <pic:cNvPicPr>
                                            <a:picLocks noChangeAspect="1" noChangeArrowheads="1"/>
                                          </pic:cNvPicPr>
                                        </pic:nvPicPr>
                                        <pic:blipFill>
                                          <a:blip r:embed="rId9"/>
                                          <a:srcRect/>
                                          <a:stretch>
                                            <a:fillRect/>
                                          </a:stretch>
                                        </pic:blipFill>
                                        <pic:spPr bwMode="auto">
                                          <a:xfrm>
                                            <a:off x="0" y="0"/>
                                            <a:ext cx="3001645" cy="527050"/>
                                          </a:xfrm>
                                          <a:prstGeom prst="rect">
                                            <a:avLst/>
                                          </a:prstGeom>
                                          <a:noFill/>
                                          <a:ln w="9525">
                                            <a:noFill/>
                                            <a:miter lim="800000"/>
                                            <a:headEnd/>
                                            <a:tailEnd/>
                                          </a:ln>
                                        </pic:spPr>
                                      </pic:pic>
                                    </a:graphicData>
                                  </a:graphic>
                                </wp:inline>
                              </w:drawing>
                            </w:r>
                          </w:p>
                        </w:txbxContent>
                      </v:textbox>
                    </v:shape>
                  </w:pict>
                </mc:Fallback>
              </mc:AlternateContent>
            </w:r>
          </w:p>
          <w:p w:rsidR="00676A73" w:rsidRDefault="00676A73">
            <w:pPr>
              <w:jc w:val="left"/>
              <w:rPr>
                <w:rFonts w:ascii="Candara" w:hAnsi="Candara"/>
              </w:rPr>
            </w:pPr>
          </w:p>
        </w:tc>
      </w:tr>
      <w:tr w:rsidR="00676A73" w:rsidTr="00676A73">
        <w:trPr>
          <w:trHeight w:val="754"/>
        </w:trPr>
        <w:tc>
          <w:tcPr>
            <w:tcW w:w="0" w:type="auto"/>
            <w:vMerge/>
            <w:tcBorders>
              <w:top w:val="double" w:sz="4" w:space="0" w:color="auto"/>
              <w:left w:val="double" w:sz="4" w:space="0" w:color="auto"/>
              <w:bottom w:val="double" w:sz="4" w:space="0" w:color="auto"/>
              <w:right w:val="double" w:sz="4" w:space="0" w:color="auto"/>
            </w:tcBorders>
            <w:vAlign w:val="center"/>
            <w:hideMark/>
          </w:tcPr>
          <w:p w:rsidR="00676A73" w:rsidRDefault="00676A73">
            <w:pPr>
              <w:suppressAutoHyphens w:val="0"/>
              <w:spacing w:after="0" w:line="240" w:lineRule="auto"/>
              <w:jc w:val="left"/>
              <w:rPr>
                <w:rFonts w:ascii="Candara" w:hAnsi="Candara"/>
                <w:b/>
                <w:sz w:val="32"/>
                <w:szCs w:val="32"/>
              </w:rPr>
            </w:pPr>
          </w:p>
        </w:tc>
        <w:tc>
          <w:tcPr>
            <w:tcW w:w="2453" w:type="dxa"/>
            <w:gridSpan w:val="2"/>
            <w:tcBorders>
              <w:top w:val="double" w:sz="4" w:space="0" w:color="auto"/>
              <w:left w:val="double" w:sz="4" w:space="0" w:color="auto"/>
              <w:bottom w:val="double" w:sz="4" w:space="0" w:color="auto"/>
              <w:right w:val="double" w:sz="4" w:space="0" w:color="auto"/>
            </w:tcBorders>
            <w:vAlign w:val="center"/>
          </w:tcPr>
          <w:p w:rsidR="00676A73" w:rsidRDefault="004D5D18">
            <w:pPr>
              <w:spacing w:line="240" w:lineRule="auto"/>
              <w:jc w:val="left"/>
              <w:rPr>
                <w:rFonts w:ascii="Candara" w:hAnsi="Candara"/>
                <w:noProof/>
                <w:lang w:val="en-US" w:eastAsia="zh-TW"/>
              </w:rPr>
            </w:pPr>
            <w:r>
              <w:rPr>
                <w:rFonts w:ascii="Times New Roman" w:hAnsi="Times New Roman"/>
                <w:noProof/>
                <w:sz w:val="24"/>
                <w:szCs w:val="24"/>
                <w:lang w:val="en-US"/>
              </w:rPr>
              <w:drawing>
                <wp:anchor distT="0" distB="0" distL="114300" distR="114300" simplePos="0" relativeHeight="251657216" behindDoc="0" locked="0" layoutInCell="1" allowOverlap="1">
                  <wp:simplePos x="0" y="0"/>
                  <wp:positionH relativeFrom="margin">
                    <wp:posOffset>-635</wp:posOffset>
                  </wp:positionH>
                  <wp:positionV relativeFrom="paragraph">
                    <wp:posOffset>0</wp:posOffset>
                  </wp:positionV>
                  <wp:extent cx="412750" cy="412750"/>
                  <wp:effectExtent l="19050" t="0" r="635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12750" cy="412750"/>
                          </a:xfrm>
                          <a:prstGeom prst="rect">
                            <a:avLst/>
                          </a:prstGeom>
                          <a:noFill/>
                        </pic:spPr>
                      </pic:pic>
                    </a:graphicData>
                  </a:graphic>
                </wp:anchor>
              </w:drawing>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676A73" w:rsidRDefault="00676A73">
            <w:pPr>
              <w:suppressAutoHyphens w:val="0"/>
              <w:spacing w:after="0" w:line="240" w:lineRule="auto"/>
              <w:jc w:val="left"/>
              <w:rPr>
                <w:rFonts w:ascii="Candara" w:hAnsi="Candara"/>
              </w:rPr>
            </w:pPr>
          </w:p>
        </w:tc>
      </w:tr>
      <w:tr w:rsidR="00676A73" w:rsidTr="00676A73">
        <w:trPr>
          <w:trHeight w:val="529"/>
        </w:trPr>
        <w:tc>
          <w:tcPr>
            <w:tcW w:w="10440" w:type="dxa"/>
            <w:gridSpan w:val="4"/>
            <w:tcBorders>
              <w:top w:val="double" w:sz="4" w:space="0" w:color="auto"/>
              <w:left w:val="single" w:sz="4" w:space="0" w:color="auto"/>
              <w:bottom w:val="single" w:sz="4" w:space="0" w:color="auto"/>
              <w:right w:val="single" w:sz="4" w:space="0" w:color="auto"/>
            </w:tcBorders>
            <w:shd w:val="clear" w:color="auto" w:fill="B8CCE4"/>
            <w:vAlign w:val="center"/>
            <w:hideMark/>
          </w:tcPr>
          <w:p w:rsidR="00676A73" w:rsidRDefault="00676A73">
            <w:pPr>
              <w:spacing w:line="240" w:lineRule="auto"/>
              <w:rPr>
                <w:rFonts w:ascii="Candara" w:hAnsi="Candara"/>
                <w:b/>
              </w:rPr>
            </w:pPr>
            <w:r>
              <w:rPr>
                <w:rFonts w:ascii="Candara" w:hAnsi="Candara"/>
                <w:b/>
              </w:rPr>
              <w:t>GENERAL INFORMATION</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Study program in which the course unit is offered</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A247E4" w:rsidRDefault="00A60B9C">
            <w:pPr>
              <w:spacing w:line="240" w:lineRule="auto"/>
              <w:jc w:val="left"/>
              <w:rPr>
                <w:rFonts w:ascii="Candara" w:hAnsi="Candara"/>
                <w:color w:val="548DD4"/>
              </w:rPr>
            </w:pPr>
            <w:r w:rsidRPr="00A247E4">
              <w:rPr>
                <w:rFonts w:ascii="Candara" w:hAnsi="Candara"/>
                <w:lang w:val="en-US"/>
              </w:rPr>
              <w:t>Primary Teacher Education</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Course unit title</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247E4">
            <w:pPr>
              <w:spacing w:line="240" w:lineRule="auto"/>
              <w:jc w:val="left"/>
              <w:rPr>
                <w:rFonts w:ascii="Candara" w:hAnsi="Candara"/>
              </w:rPr>
            </w:pPr>
            <w:r>
              <w:rPr>
                <w:rFonts w:ascii="Candara" w:hAnsi="Candara"/>
              </w:rPr>
              <w:t>Inclusive education – theory and practice</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Course unit code</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676A73">
            <w:pPr>
              <w:spacing w:line="240" w:lineRule="auto"/>
              <w:jc w:val="left"/>
              <w:rPr>
                <w:rFonts w:ascii="Candara" w:hAnsi="Candara"/>
              </w:rPr>
            </w:pP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Type of course unit</w:t>
            </w:r>
            <w:r w:rsidRPr="00410B65">
              <w:rPr>
                <w:rStyle w:val="FootnoteReference"/>
                <w:rFonts w:ascii="Candara" w:hAnsi="Candara"/>
              </w:rPr>
              <w:footnoteReference w:id="1"/>
            </w:r>
            <w:r w:rsidRPr="00410B65">
              <w:rPr>
                <w:rFonts w:ascii="Candara" w:hAnsi="Candara"/>
              </w:rPr>
              <w:t xml:space="preserve"> </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247E4">
            <w:pPr>
              <w:spacing w:line="240" w:lineRule="auto"/>
              <w:jc w:val="left"/>
              <w:rPr>
                <w:rFonts w:ascii="Candara" w:hAnsi="Candara"/>
              </w:rPr>
            </w:pPr>
            <w:r>
              <w:rPr>
                <w:rFonts w:ascii="Candara" w:hAnsi="Candara"/>
              </w:rPr>
              <w:t>Compulsory</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Level of course unit</w:t>
            </w:r>
            <w:r w:rsidRPr="00410B65">
              <w:rPr>
                <w:rStyle w:val="FootnoteReference"/>
                <w:rFonts w:ascii="Candara" w:hAnsi="Candara"/>
              </w:rPr>
              <w:footnoteReference w:id="2"/>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247E4">
            <w:pPr>
              <w:spacing w:line="240" w:lineRule="auto"/>
              <w:jc w:val="left"/>
              <w:rPr>
                <w:rFonts w:ascii="Candara" w:hAnsi="Candara"/>
              </w:rPr>
            </w:pPr>
            <w:r>
              <w:rPr>
                <w:rFonts w:ascii="Candara" w:hAnsi="Candara"/>
              </w:rPr>
              <w:t>Master’s</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uppressAutoHyphens w:val="0"/>
              <w:spacing w:after="0" w:line="240" w:lineRule="auto"/>
              <w:contextualSpacing/>
              <w:jc w:val="left"/>
              <w:rPr>
                <w:rFonts w:ascii="Candara" w:hAnsi="Candara" w:cs="Arial"/>
                <w:lang w:val="en-US"/>
              </w:rPr>
            </w:pPr>
            <w:r w:rsidRPr="00410B65">
              <w:rPr>
                <w:rFonts w:ascii="Candara" w:hAnsi="Candara"/>
              </w:rPr>
              <w:t>Semester when the course unit is offered</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60B9C">
            <w:pPr>
              <w:suppressAutoHyphens w:val="0"/>
              <w:spacing w:after="0" w:line="240" w:lineRule="auto"/>
              <w:contextualSpacing/>
              <w:jc w:val="left"/>
              <w:rPr>
                <w:rFonts w:ascii="Candara" w:hAnsi="Candara" w:cs="Arial"/>
                <w:lang w:val="en-US"/>
              </w:rPr>
            </w:pPr>
            <w:r w:rsidRPr="00410B65">
              <w:rPr>
                <w:rFonts w:ascii="Candara" w:hAnsi="Candara" w:cs="Arial"/>
                <w:lang w:val="en-US"/>
              </w:rPr>
              <w:t>Winter</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Year of study (if applicable)</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247E4">
            <w:pPr>
              <w:spacing w:line="240" w:lineRule="auto"/>
              <w:jc w:val="left"/>
              <w:rPr>
                <w:rFonts w:ascii="Candara" w:hAnsi="Candara"/>
              </w:rPr>
            </w:pPr>
            <w:r>
              <w:rPr>
                <w:rFonts w:ascii="Candara" w:hAnsi="Candara"/>
              </w:rPr>
              <w:t>I</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Number of ECTS allocated</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60B9C">
            <w:pPr>
              <w:spacing w:line="240" w:lineRule="auto"/>
              <w:jc w:val="left"/>
              <w:rPr>
                <w:rFonts w:ascii="Candara" w:hAnsi="Candara"/>
              </w:rPr>
            </w:pPr>
            <w:r w:rsidRPr="00410B65">
              <w:rPr>
                <w:rFonts w:ascii="Candara" w:hAnsi="Candara"/>
              </w:rPr>
              <w:t>6</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Name of lecturer/lecturers</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Default="00A60B9C">
            <w:pPr>
              <w:spacing w:line="240" w:lineRule="auto"/>
              <w:jc w:val="left"/>
              <w:rPr>
                <w:rFonts w:ascii="Candara" w:hAnsi="Candara"/>
                <w:lang w:val="en-US"/>
              </w:rPr>
            </w:pPr>
            <w:r w:rsidRPr="00410B65">
              <w:rPr>
                <w:rFonts w:ascii="Candara" w:hAnsi="Candara"/>
              </w:rPr>
              <w:t xml:space="preserve">Assistant Professor </w:t>
            </w:r>
            <w:proofErr w:type="spellStart"/>
            <w:r w:rsidRPr="00410B65">
              <w:rPr>
                <w:rFonts w:ascii="Candara" w:hAnsi="Candara"/>
                <w:lang w:val="en-US"/>
              </w:rPr>
              <w:t>Marija</w:t>
            </w:r>
            <w:proofErr w:type="spellEnd"/>
            <w:r w:rsidRPr="00410B65">
              <w:rPr>
                <w:rFonts w:ascii="Candara" w:hAnsi="Candara"/>
                <w:lang w:val="en-US"/>
              </w:rPr>
              <w:t xml:space="preserve"> </w:t>
            </w:r>
            <w:proofErr w:type="spellStart"/>
            <w:r w:rsidRPr="00410B65">
              <w:rPr>
                <w:rFonts w:ascii="Candara" w:hAnsi="Candara"/>
                <w:lang w:val="en-US"/>
              </w:rPr>
              <w:t>Cvijetić</w:t>
            </w:r>
            <w:proofErr w:type="spellEnd"/>
            <w:r w:rsidRPr="00410B65">
              <w:rPr>
                <w:rFonts w:ascii="Candara" w:hAnsi="Candara"/>
                <w:lang w:val="en-US"/>
              </w:rPr>
              <w:t xml:space="preserve"> </w:t>
            </w:r>
            <w:proofErr w:type="spellStart"/>
            <w:r w:rsidRPr="00410B65">
              <w:rPr>
                <w:rFonts w:ascii="Candara" w:hAnsi="Candara"/>
                <w:lang w:val="en-US"/>
              </w:rPr>
              <w:t>Vukčević</w:t>
            </w:r>
            <w:proofErr w:type="spellEnd"/>
          </w:p>
          <w:p w:rsidR="006612AA" w:rsidRPr="00410B65" w:rsidRDefault="006612AA">
            <w:pPr>
              <w:spacing w:line="240" w:lineRule="auto"/>
              <w:jc w:val="left"/>
              <w:rPr>
                <w:rFonts w:ascii="Candara" w:hAnsi="Candara"/>
              </w:rPr>
            </w:pP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Mode of course unit delivery</w:t>
            </w:r>
            <w:r w:rsidRPr="00410B65">
              <w:rPr>
                <w:rStyle w:val="FootnoteReference"/>
                <w:rFonts w:ascii="Candara" w:hAnsi="Candara"/>
              </w:rPr>
              <w:footnoteReference w:id="3"/>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60B9C">
            <w:pPr>
              <w:spacing w:line="240" w:lineRule="auto"/>
              <w:jc w:val="left"/>
              <w:rPr>
                <w:rFonts w:ascii="Candara" w:hAnsi="Candara"/>
              </w:rPr>
            </w:pPr>
            <w:r w:rsidRPr="00410B65">
              <w:rPr>
                <w:rFonts w:ascii="Candara" w:hAnsi="Candara"/>
                <w:lang w:val="en-US"/>
              </w:rPr>
              <w:t>Face-to-face</w:t>
            </w:r>
          </w:p>
        </w:tc>
      </w:tr>
      <w:tr w:rsidR="00676A73" w:rsidRPr="00410B65" w:rsidTr="00676A73">
        <w:trPr>
          <w:trHeight w:val="562"/>
        </w:trPr>
        <w:tc>
          <w:tcPr>
            <w:tcW w:w="4680" w:type="dxa"/>
            <w:gridSpan w:val="2"/>
            <w:tcBorders>
              <w:top w:val="single" w:sz="4" w:space="0" w:color="auto"/>
              <w:left w:val="single" w:sz="4" w:space="0" w:color="auto"/>
              <w:bottom w:val="single" w:sz="4" w:space="0" w:color="auto"/>
              <w:right w:val="single" w:sz="4" w:space="0" w:color="auto"/>
            </w:tcBorders>
            <w:vAlign w:val="center"/>
            <w:hideMark/>
          </w:tcPr>
          <w:p w:rsidR="00676A73" w:rsidRPr="00410B65" w:rsidRDefault="00676A73">
            <w:pPr>
              <w:spacing w:line="240" w:lineRule="auto"/>
              <w:jc w:val="left"/>
              <w:rPr>
                <w:rFonts w:ascii="Candara" w:hAnsi="Candara"/>
              </w:rPr>
            </w:pPr>
            <w:r w:rsidRPr="00410B65">
              <w:rPr>
                <w:rFonts w:ascii="Candara" w:hAnsi="Candara"/>
              </w:rPr>
              <w:t>Course unit pre-requisites (if any)</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676A73" w:rsidRPr="00410B65" w:rsidRDefault="00A60B9C">
            <w:pPr>
              <w:spacing w:line="240" w:lineRule="auto"/>
              <w:jc w:val="left"/>
              <w:rPr>
                <w:rFonts w:ascii="Candara" w:hAnsi="Candara"/>
              </w:rPr>
            </w:pPr>
            <w:r w:rsidRPr="00410B65">
              <w:rPr>
                <w:rFonts w:ascii="Candara" w:hAnsi="Candara"/>
              </w:rPr>
              <w:t>/</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spacing w:line="240" w:lineRule="auto"/>
              <w:jc w:val="left"/>
              <w:rPr>
                <w:rFonts w:ascii="Candara" w:hAnsi="Candara"/>
                <w:b/>
              </w:rPr>
            </w:pPr>
            <w:r w:rsidRPr="00410B65">
              <w:rPr>
                <w:rFonts w:ascii="Candara" w:hAnsi="Candara"/>
                <w:b/>
              </w:rPr>
              <w:t>PURPOSE AND OVERVIEW (max 5-10 sentences)</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676A73" w:rsidRPr="00410B65" w:rsidRDefault="00A247E4" w:rsidP="001653A2">
            <w:pPr>
              <w:spacing w:line="240" w:lineRule="auto"/>
              <w:jc w:val="left"/>
              <w:rPr>
                <w:rFonts w:ascii="Candara" w:hAnsi="Candara"/>
                <w:i/>
              </w:rPr>
            </w:pPr>
            <w:r w:rsidRPr="00A247E4">
              <w:rPr>
                <w:rFonts w:ascii="Candara" w:hAnsi="Candara"/>
                <w:i/>
              </w:rPr>
              <w:t>Students will learn about different models of inclusive education and factors that influence inclusive practice. Students will develop an analytical approach to interpreting inclusive education research.</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spacing w:line="240" w:lineRule="auto"/>
              <w:jc w:val="left"/>
              <w:rPr>
                <w:rFonts w:ascii="Candara" w:hAnsi="Candara"/>
                <w:b/>
              </w:rPr>
            </w:pPr>
            <w:r w:rsidRPr="00410B65">
              <w:rPr>
                <w:rFonts w:ascii="Candara" w:hAnsi="Candara"/>
                <w:b/>
              </w:rPr>
              <w:t>LEARNING OUTCOMES (knowledge and skills)</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A247E4" w:rsidRPr="00A247E4" w:rsidRDefault="00A247E4" w:rsidP="00A247E4">
            <w:pPr>
              <w:pStyle w:val="ListParagraph"/>
              <w:numPr>
                <w:ilvl w:val="0"/>
                <w:numId w:val="1"/>
              </w:numPr>
              <w:suppressAutoHyphens w:val="0"/>
              <w:spacing w:after="0" w:line="240" w:lineRule="auto"/>
              <w:jc w:val="left"/>
              <w:rPr>
                <w:rFonts w:ascii="Candara" w:hAnsi="Candara"/>
                <w:lang w:val="en-US"/>
              </w:rPr>
            </w:pPr>
            <w:r w:rsidRPr="00A247E4">
              <w:rPr>
                <w:rFonts w:ascii="Candara" w:hAnsi="Candara"/>
                <w:lang w:val="en-US"/>
              </w:rPr>
              <w:t>Mastered theoretical concepts related to inclusive education and different models of inclusive education.</w:t>
            </w:r>
          </w:p>
          <w:p w:rsidR="00A247E4" w:rsidRPr="00A247E4" w:rsidRDefault="00A247E4" w:rsidP="00A247E4">
            <w:pPr>
              <w:pStyle w:val="ListParagraph"/>
              <w:numPr>
                <w:ilvl w:val="0"/>
                <w:numId w:val="1"/>
              </w:numPr>
              <w:suppressAutoHyphens w:val="0"/>
              <w:spacing w:after="0" w:line="240" w:lineRule="auto"/>
              <w:jc w:val="left"/>
              <w:rPr>
                <w:rFonts w:ascii="Candara" w:hAnsi="Candara"/>
                <w:lang w:val="en-US"/>
              </w:rPr>
            </w:pPr>
            <w:r w:rsidRPr="00A247E4">
              <w:rPr>
                <w:rFonts w:ascii="Candara" w:hAnsi="Candara"/>
                <w:lang w:val="en-US"/>
              </w:rPr>
              <w:t>Acquired knowledge about experiences from countries that have been developing inclusive education for decades.</w:t>
            </w:r>
          </w:p>
          <w:p w:rsidR="00A247E4" w:rsidRPr="00A247E4" w:rsidRDefault="00A247E4" w:rsidP="00A247E4">
            <w:pPr>
              <w:pStyle w:val="ListParagraph"/>
              <w:numPr>
                <w:ilvl w:val="0"/>
                <w:numId w:val="1"/>
              </w:numPr>
              <w:suppressAutoHyphens w:val="0"/>
              <w:spacing w:after="0" w:line="240" w:lineRule="auto"/>
              <w:jc w:val="left"/>
              <w:rPr>
                <w:rFonts w:ascii="Candara" w:hAnsi="Candara"/>
                <w:lang w:val="en-US"/>
              </w:rPr>
            </w:pPr>
            <w:r w:rsidRPr="00A247E4">
              <w:rPr>
                <w:rFonts w:ascii="Candara" w:hAnsi="Candara"/>
                <w:lang w:val="en-US"/>
              </w:rPr>
              <w:t>Deeper understanding of the factors that contribute to the development and improvement of inclusion in education.</w:t>
            </w:r>
          </w:p>
          <w:p w:rsidR="00676A73" w:rsidRPr="00410B65" w:rsidRDefault="00A247E4" w:rsidP="00A247E4">
            <w:pPr>
              <w:pStyle w:val="ListParagraph"/>
              <w:numPr>
                <w:ilvl w:val="0"/>
                <w:numId w:val="1"/>
              </w:numPr>
              <w:suppressAutoHyphens w:val="0"/>
              <w:spacing w:after="0" w:line="240" w:lineRule="auto"/>
              <w:jc w:val="left"/>
              <w:rPr>
                <w:rFonts w:ascii="Candara" w:hAnsi="Candara"/>
                <w:lang w:val="en-US"/>
              </w:rPr>
            </w:pPr>
            <w:r w:rsidRPr="00A247E4">
              <w:rPr>
                <w:rFonts w:ascii="Candara" w:hAnsi="Candara"/>
                <w:lang w:val="en-US"/>
              </w:rPr>
              <w:lastRenderedPageBreak/>
              <w:t>Mastery of the skills of critical analysis and interpretation of research in the field of inclusive education.</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tabs>
                <w:tab w:val="left" w:pos="360"/>
              </w:tabs>
              <w:spacing w:after="0" w:line="240" w:lineRule="auto"/>
              <w:jc w:val="left"/>
              <w:rPr>
                <w:rFonts w:ascii="Candara" w:hAnsi="Candara"/>
                <w:b/>
              </w:rPr>
            </w:pPr>
            <w:r w:rsidRPr="00410B65">
              <w:rPr>
                <w:rFonts w:ascii="Candara" w:hAnsi="Candara"/>
                <w:b/>
              </w:rPr>
              <w:lastRenderedPageBreak/>
              <w:t>SYLLABUS (outline and summary of topics)</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A60B9C" w:rsidRPr="00410B65" w:rsidRDefault="00A60B9C" w:rsidP="00A60B9C">
            <w:pPr>
              <w:tabs>
                <w:tab w:val="left" w:pos="360"/>
              </w:tabs>
              <w:spacing w:after="0" w:line="240" w:lineRule="auto"/>
              <w:jc w:val="left"/>
              <w:rPr>
                <w:rFonts w:ascii="Candara" w:hAnsi="Candara"/>
                <w:b/>
              </w:rPr>
            </w:pPr>
            <w:r w:rsidRPr="00410B65">
              <w:rPr>
                <w:rFonts w:ascii="Candara" w:hAnsi="Candara"/>
                <w:b/>
              </w:rPr>
              <w:t>Theory:</w:t>
            </w:r>
          </w:p>
          <w:p w:rsidR="00FD0F13" w:rsidRDefault="00FD0F13" w:rsidP="00A60B9C">
            <w:pPr>
              <w:tabs>
                <w:tab w:val="left" w:pos="360"/>
              </w:tabs>
              <w:spacing w:after="0" w:line="240" w:lineRule="auto"/>
              <w:jc w:val="left"/>
              <w:rPr>
                <w:rFonts w:ascii="Candara" w:hAnsi="Candara"/>
              </w:rPr>
            </w:pPr>
            <w:r w:rsidRPr="00FD0F13">
              <w:rPr>
                <w:rFonts w:ascii="Candara" w:hAnsi="Candara"/>
              </w:rPr>
              <w:t>Acquaintance and analysis of authentic models in the development of an inclusive school and factors that contribute to the development and improvement of inclusive education. The historical context of the development of inclusive education. International experiences in the dev</w:t>
            </w:r>
            <w:r w:rsidR="006612AA">
              <w:rPr>
                <w:rFonts w:ascii="Candara" w:hAnsi="Candara"/>
              </w:rPr>
              <w:t>elopment of inclusion.</w:t>
            </w:r>
            <w:r w:rsidRPr="00FD0F13">
              <w:rPr>
                <w:rFonts w:ascii="Candara" w:hAnsi="Candara"/>
              </w:rPr>
              <w:t xml:space="preserve"> Attitudes towards inclusive </w:t>
            </w:r>
            <w:r w:rsidR="006612AA">
              <w:rPr>
                <w:rFonts w:ascii="Candara" w:hAnsi="Candara"/>
              </w:rPr>
              <w:t>education and attitude change</w:t>
            </w:r>
            <w:r w:rsidRPr="00FD0F13">
              <w:rPr>
                <w:rFonts w:ascii="Candara" w:hAnsi="Candara"/>
              </w:rPr>
              <w:t xml:space="preserve">. Academic and social effects of inclusive education for different actors of education. Adapting the curriculum and teaching in the inclusive class, individualization </w:t>
            </w:r>
            <w:r>
              <w:rPr>
                <w:rFonts w:ascii="Candara" w:hAnsi="Candara"/>
              </w:rPr>
              <w:t>in teaching</w:t>
            </w:r>
            <w:r w:rsidRPr="00FD0F13">
              <w:rPr>
                <w:rFonts w:ascii="Candara" w:hAnsi="Candara"/>
              </w:rPr>
              <w:t xml:space="preserve"> children with developme</w:t>
            </w:r>
            <w:r w:rsidR="00455492">
              <w:rPr>
                <w:rFonts w:ascii="Candara" w:hAnsi="Candara"/>
              </w:rPr>
              <w:t>ntal disabilities. I</w:t>
            </w:r>
            <w:r w:rsidRPr="00FD0F13">
              <w:rPr>
                <w:rFonts w:ascii="Candara" w:hAnsi="Candara"/>
              </w:rPr>
              <w:t>nternational research on inclusion in education: similarities and differences, basic tendencies and conclusions.</w:t>
            </w:r>
          </w:p>
          <w:p w:rsidR="00A60B9C" w:rsidRPr="00410B65" w:rsidRDefault="00A60B9C" w:rsidP="00A60B9C">
            <w:pPr>
              <w:tabs>
                <w:tab w:val="left" w:pos="360"/>
              </w:tabs>
              <w:spacing w:after="0" w:line="240" w:lineRule="auto"/>
              <w:jc w:val="left"/>
              <w:rPr>
                <w:rFonts w:ascii="Candara" w:hAnsi="Candara"/>
                <w:b/>
              </w:rPr>
            </w:pPr>
            <w:r w:rsidRPr="00410B65">
              <w:rPr>
                <w:rFonts w:ascii="Candara" w:hAnsi="Candara"/>
                <w:b/>
              </w:rPr>
              <w:t>Practice:</w:t>
            </w:r>
          </w:p>
          <w:p w:rsidR="00676A73" w:rsidRPr="00410B65" w:rsidRDefault="006E1107" w:rsidP="006E1107">
            <w:pPr>
              <w:tabs>
                <w:tab w:val="left" w:pos="360"/>
              </w:tabs>
              <w:spacing w:after="0" w:line="240" w:lineRule="auto"/>
              <w:jc w:val="left"/>
              <w:rPr>
                <w:rFonts w:ascii="Candara" w:hAnsi="Candara"/>
              </w:rPr>
            </w:pPr>
            <w:r w:rsidRPr="006E1107">
              <w:rPr>
                <w:rFonts w:ascii="Candara" w:hAnsi="Candara"/>
              </w:rPr>
              <w:t>Case study analyses. Preparation and presentation of the seminar</w:t>
            </w:r>
            <w:r>
              <w:rPr>
                <w:rFonts w:ascii="Candara" w:hAnsi="Candara"/>
              </w:rPr>
              <w:t xml:space="preserve">. </w:t>
            </w:r>
            <w:r w:rsidRPr="006E1107">
              <w:rPr>
                <w:rFonts w:ascii="Candara" w:hAnsi="Candara"/>
              </w:rPr>
              <w:t xml:space="preserve">Discussion </w:t>
            </w:r>
            <w:r>
              <w:rPr>
                <w:rFonts w:ascii="Candara" w:hAnsi="Candara"/>
              </w:rPr>
              <w:t xml:space="preserve">about </w:t>
            </w:r>
            <w:r w:rsidRPr="006E1107">
              <w:rPr>
                <w:rFonts w:ascii="Candara" w:hAnsi="Candara"/>
              </w:rPr>
              <w:t>theoretical issues of inclusive education and practical approaches to inclusive teaching.</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spacing w:after="0" w:line="240" w:lineRule="auto"/>
              <w:contextualSpacing/>
              <w:jc w:val="left"/>
              <w:rPr>
                <w:rFonts w:ascii="Candara" w:hAnsi="Candara"/>
              </w:rPr>
            </w:pPr>
            <w:r w:rsidRPr="00410B65">
              <w:rPr>
                <w:rFonts w:ascii="Candara" w:hAnsi="Candara"/>
                <w:b/>
              </w:rPr>
              <w:t>LEARNING AND TEACHING (</w:t>
            </w:r>
            <w:r w:rsidRPr="00410B65">
              <w:rPr>
                <w:rFonts w:ascii="Candara" w:hAnsi="Candara"/>
              </w:rPr>
              <w:t xml:space="preserve">planned learning activities and teaching methods) </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B133F6" w:rsidRPr="00410B65" w:rsidRDefault="00DF49E3" w:rsidP="006E1107">
            <w:pPr>
              <w:spacing w:after="0" w:line="240" w:lineRule="auto"/>
              <w:contextualSpacing/>
              <w:jc w:val="left"/>
              <w:rPr>
                <w:rFonts w:ascii="Candara" w:hAnsi="Candara"/>
              </w:rPr>
            </w:pPr>
            <w:r w:rsidRPr="00410B65">
              <w:rPr>
                <w:rFonts w:ascii="Candara" w:hAnsi="Candara"/>
                <w:lang w:val="en-US"/>
              </w:rPr>
              <w:t>Plenary presentations, group work, interactive teaching-discussions, problem situations, indi</w:t>
            </w:r>
            <w:r w:rsidR="00410B65" w:rsidRPr="00410B65">
              <w:rPr>
                <w:rFonts w:ascii="Candara" w:hAnsi="Candara"/>
                <w:lang w:val="en-US"/>
              </w:rPr>
              <w:t>vidual work tasks</w:t>
            </w:r>
            <w:r w:rsidRPr="00410B65">
              <w:rPr>
                <w:rFonts w:ascii="Candara" w:hAnsi="Candara"/>
                <w:lang w:val="en-US"/>
              </w:rPr>
              <w:t>.</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tabs>
                <w:tab w:val="left" w:pos="360"/>
              </w:tabs>
              <w:spacing w:after="0" w:line="240" w:lineRule="auto"/>
              <w:contextualSpacing/>
              <w:jc w:val="left"/>
              <w:rPr>
                <w:rFonts w:ascii="Candara" w:hAnsi="Candara"/>
                <w:b/>
              </w:rPr>
            </w:pPr>
            <w:r w:rsidRPr="00410B65">
              <w:rPr>
                <w:rFonts w:ascii="Candara" w:hAnsi="Candara"/>
                <w:b/>
              </w:rPr>
              <w:t>REQUIRED READING</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DF49E3" w:rsidRDefault="006E1107" w:rsidP="007B74C3">
            <w:pPr>
              <w:tabs>
                <w:tab w:val="left" w:pos="360"/>
              </w:tabs>
              <w:spacing w:after="0" w:line="240" w:lineRule="auto"/>
              <w:jc w:val="left"/>
              <w:rPr>
                <w:rFonts w:cs="Arial"/>
                <w:color w:val="222222"/>
                <w:shd w:val="clear" w:color="auto" w:fill="FFFFFF"/>
              </w:rPr>
            </w:pPr>
            <w:r>
              <w:rPr>
                <w:rFonts w:cs="Arial"/>
                <w:color w:val="222222"/>
                <w:shd w:val="clear" w:color="auto" w:fill="FFFFFF"/>
              </w:rPr>
              <w:t>Mitchell, D. (2014). </w:t>
            </w:r>
            <w:r>
              <w:rPr>
                <w:rFonts w:cs="Arial"/>
                <w:i/>
                <w:iCs/>
                <w:color w:val="222222"/>
                <w:shd w:val="clear" w:color="auto" w:fill="FFFFFF"/>
              </w:rPr>
              <w:t xml:space="preserve">What really works in special and inclusive education: Using evidence-based teaching </w:t>
            </w:r>
            <w:proofErr w:type="gramStart"/>
            <w:r>
              <w:rPr>
                <w:rFonts w:cs="Arial"/>
                <w:i/>
                <w:iCs/>
                <w:color w:val="222222"/>
                <w:shd w:val="clear" w:color="auto" w:fill="FFFFFF"/>
              </w:rPr>
              <w:t>strategies</w:t>
            </w:r>
            <w:r>
              <w:rPr>
                <w:rFonts w:cs="Arial"/>
                <w:color w:val="222222"/>
                <w:shd w:val="clear" w:color="auto" w:fill="FFFFFF"/>
              </w:rPr>
              <w:t>.</w:t>
            </w:r>
            <w:proofErr w:type="gramEnd"/>
            <w:r>
              <w:rPr>
                <w:rFonts w:cs="Arial"/>
                <w:color w:val="222222"/>
                <w:shd w:val="clear" w:color="auto" w:fill="FFFFFF"/>
              </w:rPr>
              <w:t xml:space="preserve"> </w:t>
            </w:r>
            <w:proofErr w:type="spellStart"/>
            <w:r>
              <w:rPr>
                <w:rFonts w:cs="Arial"/>
                <w:color w:val="222222"/>
                <w:shd w:val="clear" w:color="auto" w:fill="FFFFFF"/>
              </w:rPr>
              <w:t>Routledge</w:t>
            </w:r>
            <w:proofErr w:type="spellEnd"/>
            <w:r>
              <w:rPr>
                <w:rFonts w:cs="Arial"/>
                <w:color w:val="222222"/>
                <w:shd w:val="clear" w:color="auto" w:fill="FFFFFF"/>
              </w:rPr>
              <w:t>.</w:t>
            </w:r>
          </w:p>
          <w:p w:rsidR="006E1107" w:rsidRDefault="006E1107" w:rsidP="007B74C3">
            <w:pPr>
              <w:tabs>
                <w:tab w:val="left" w:pos="360"/>
              </w:tabs>
              <w:spacing w:after="0" w:line="240" w:lineRule="auto"/>
              <w:jc w:val="left"/>
              <w:rPr>
                <w:rFonts w:cs="Arial"/>
                <w:color w:val="222222"/>
                <w:shd w:val="clear" w:color="auto" w:fill="FFFFFF"/>
              </w:rPr>
            </w:pPr>
            <w:proofErr w:type="spellStart"/>
            <w:r>
              <w:rPr>
                <w:rFonts w:cs="Arial"/>
                <w:color w:val="222222"/>
                <w:shd w:val="clear" w:color="auto" w:fill="FFFFFF"/>
              </w:rPr>
              <w:t>Portelli</w:t>
            </w:r>
            <w:proofErr w:type="spellEnd"/>
            <w:r>
              <w:rPr>
                <w:rFonts w:cs="Arial"/>
                <w:color w:val="222222"/>
                <w:shd w:val="clear" w:color="auto" w:fill="FFFFFF"/>
              </w:rPr>
              <w:t xml:space="preserve">, J. P., &amp; </w:t>
            </w:r>
            <w:proofErr w:type="spellStart"/>
            <w:r>
              <w:rPr>
                <w:rFonts w:cs="Arial"/>
                <w:color w:val="222222"/>
                <w:shd w:val="clear" w:color="auto" w:fill="FFFFFF"/>
              </w:rPr>
              <w:t>Koneeny</w:t>
            </w:r>
            <w:proofErr w:type="spellEnd"/>
            <w:r>
              <w:rPr>
                <w:rFonts w:cs="Arial"/>
                <w:color w:val="222222"/>
                <w:shd w:val="clear" w:color="auto" w:fill="FFFFFF"/>
              </w:rPr>
              <w:t>, P. (2018). Inclusive education: Beyond popular discourses. </w:t>
            </w:r>
            <w:r>
              <w:rPr>
                <w:rFonts w:cs="Arial"/>
                <w:i/>
                <w:iCs/>
                <w:color w:val="222222"/>
                <w:shd w:val="clear" w:color="auto" w:fill="FFFFFF"/>
              </w:rPr>
              <w:t>International Journal of Emotional Education</w:t>
            </w:r>
            <w:r>
              <w:rPr>
                <w:rFonts w:cs="Arial"/>
                <w:color w:val="222222"/>
                <w:shd w:val="clear" w:color="auto" w:fill="FFFFFF"/>
              </w:rPr>
              <w:t>, </w:t>
            </w:r>
            <w:r>
              <w:rPr>
                <w:rFonts w:cs="Arial"/>
                <w:i/>
                <w:iCs/>
                <w:color w:val="222222"/>
                <w:shd w:val="clear" w:color="auto" w:fill="FFFFFF"/>
              </w:rPr>
              <w:t>10</w:t>
            </w:r>
            <w:r>
              <w:rPr>
                <w:rFonts w:cs="Arial"/>
                <w:color w:val="222222"/>
                <w:shd w:val="clear" w:color="auto" w:fill="FFFFFF"/>
              </w:rPr>
              <w:t>(1), 133-144.</w:t>
            </w:r>
          </w:p>
          <w:p w:rsidR="006E1107" w:rsidRPr="00410B65" w:rsidRDefault="006E1107" w:rsidP="007B74C3">
            <w:pPr>
              <w:tabs>
                <w:tab w:val="left" w:pos="360"/>
              </w:tabs>
              <w:spacing w:after="0" w:line="240" w:lineRule="auto"/>
              <w:jc w:val="left"/>
              <w:rPr>
                <w:rFonts w:ascii="Candara" w:hAnsi="Candara"/>
              </w:rPr>
            </w:pPr>
            <w:proofErr w:type="spellStart"/>
            <w:r>
              <w:rPr>
                <w:rFonts w:cs="Arial"/>
                <w:color w:val="222222"/>
                <w:shd w:val="clear" w:color="auto" w:fill="FFFFFF"/>
              </w:rPr>
              <w:t>Hehir</w:t>
            </w:r>
            <w:proofErr w:type="spellEnd"/>
            <w:r>
              <w:rPr>
                <w:rFonts w:cs="Arial"/>
                <w:color w:val="222222"/>
                <w:shd w:val="clear" w:color="auto" w:fill="FFFFFF"/>
              </w:rPr>
              <w:t xml:space="preserve">, T., </w:t>
            </w:r>
            <w:proofErr w:type="spellStart"/>
            <w:r>
              <w:rPr>
                <w:rFonts w:cs="Arial"/>
                <w:color w:val="222222"/>
                <w:shd w:val="clear" w:color="auto" w:fill="FFFFFF"/>
              </w:rPr>
              <w:t>Grindal</w:t>
            </w:r>
            <w:proofErr w:type="spellEnd"/>
            <w:r>
              <w:rPr>
                <w:rFonts w:cs="Arial"/>
                <w:color w:val="222222"/>
                <w:shd w:val="clear" w:color="auto" w:fill="FFFFFF"/>
              </w:rPr>
              <w:t xml:space="preserve">, T., Freeman, B., </w:t>
            </w:r>
            <w:proofErr w:type="spellStart"/>
            <w:r>
              <w:rPr>
                <w:rFonts w:cs="Arial"/>
                <w:color w:val="222222"/>
                <w:shd w:val="clear" w:color="auto" w:fill="FFFFFF"/>
              </w:rPr>
              <w:t>Lamoreau</w:t>
            </w:r>
            <w:proofErr w:type="spellEnd"/>
            <w:r>
              <w:rPr>
                <w:rFonts w:cs="Arial"/>
                <w:color w:val="222222"/>
                <w:shd w:val="clear" w:color="auto" w:fill="FFFFFF"/>
              </w:rPr>
              <w:t xml:space="preserve">, R., </w:t>
            </w:r>
            <w:proofErr w:type="spellStart"/>
            <w:r>
              <w:rPr>
                <w:rFonts w:cs="Arial"/>
                <w:color w:val="222222"/>
                <w:shd w:val="clear" w:color="auto" w:fill="FFFFFF"/>
              </w:rPr>
              <w:t>Borquaye</w:t>
            </w:r>
            <w:proofErr w:type="spellEnd"/>
            <w:r>
              <w:rPr>
                <w:rFonts w:cs="Arial"/>
                <w:color w:val="222222"/>
                <w:shd w:val="clear" w:color="auto" w:fill="FFFFFF"/>
              </w:rPr>
              <w:t xml:space="preserve">, Y., &amp; Burke, S. (2016). </w:t>
            </w:r>
            <w:r w:rsidRPr="006612AA">
              <w:rPr>
                <w:rFonts w:cs="Arial"/>
                <w:i/>
                <w:color w:val="222222"/>
                <w:shd w:val="clear" w:color="auto" w:fill="FFFFFF"/>
              </w:rPr>
              <w:t>A Summary of the Evidence on Inclusive Education</w:t>
            </w:r>
            <w:r>
              <w:rPr>
                <w:rFonts w:cs="Arial"/>
                <w:color w:val="222222"/>
                <w:shd w:val="clear" w:color="auto" w:fill="FFFFFF"/>
              </w:rPr>
              <w:t>. </w:t>
            </w:r>
            <w:proofErr w:type="spellStart"/>
            <w:r w:rsidRPr="006612AA">
              <w:rPr>
                <w:rFonts w:cs="Arial"/>
                <w:iCs/>
                <w:color w:val="222222"/>
                <w:shd w:val="clear" w:color="auto" w:fill="FFFFFF"/>
              </w:rPr>
              <w:t>Abt</w:t>
            </w:r>
            <w:proofErr w:type="spellEnd"/>
            <w:r w:rsidRPr="006612AA">
              <w:rPr>
                <w:rFonts w:cs="Arial"/>
                <w:iCs/>
                <w:color w:val="222222"/>
                <w:shd w:val="clear" w:color="auto" w:fill="FFFFFF"/>
              </w:rPr>
              <w:t xml:space="preserve"> Associates</w:t>
            </w:r>
            <w:r w:rsidRPr="006612AA">
              <w:rPr>
                <w:rFonts w:cs="Arial"/>
                <w:color w:val="222222"/>
                <w:shd w:val="clear" w:color="auto" w:fill="FFFFFF"/>
              </w:rPr>
              <w:t>.</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tabs>
                <w:tab w:val="left" w:pos="360"/>
              </w:tabs>
              <w:spacing w:after="0" w:line="240" w:lineRule="auto"/>
              <w:jc w:val="left"/>
              <w:rPr>
                <w:rFonts w:ascii="Candara" w:hAnsi="Candara"/>
                <w:b/>
              </w:rPr>
            </w:pPr>
            <w:r w:rsidRPr="00410B65">
              <w:rPr>
                <w:rFonts w:ascii="Candara" w:hAnsi="Candara"/>
                <w:b/>
              </w:rPr>
              <w:t>ASSESSMENT METHODS AND CRITERIA</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410B65" w:rsidRPr="00410B65" w:rsidRDefault="00410B65" w:rsidP="00410B65">
            <w:pPr>
              <w:suppressAutoHyphens w:val="0"/>
              <w:spacing w:after="0" w:line="240" w:lineRule="auto"/>
              <w:rPr>
                <w:rFonts w:ascii="Candara" w:hAnsi="Candara"/>
              </w:rPr>
            </w:pPr>
            <w:r w:rsidRPr="00410B65">
              <w:rPr>
                <w:rStyle w:val="fontstyle01"/>
                <w:rFonts w:ascii="Candara" w:hAnsi="Candara"/>
                <w:sz w:val="20"/>
                <w:szCs w:val="20"/>
              </w:rPr>
              <w:t xml:space="preserve">Pre-exam obligations: </w:t>
            </w:r>
          </w:p>
          <w:p w:rsidR="00410B65" w:rsidRPr="00410B65" w:rsidRDefault="00410B65" w:rsidP="00410B65">
            <w:pPr>
              <w:suppressAutoHyphens w:val="0"/>
              <w:spacing w:after="0" w:line="240" w:lineRule="auto"/>
              <w:rPr>
                <w:rFonts w:ascii="Candara" w:hAnsi="Candara"/>
              </w:rPr>
            </w:pPr>
            <w:r w:rsidRPr="00410B65">
              <w:rPr>
                <w:rStyle w:val="fontstyle01"/>
                <w:rFonts w:ascii="Candara" w:hAnsi="Candara"/>
                <w:b w:val="0"/>
                <w:sz w:val="20"/>
                <w:szCs w:val="20"/>
              </w:rPr>
              <w:t>Seminar - 30 points</w:t>
            </w:r>
          </w:p>
          <w:p w:rsidR="00410B65" w:rsidRPr="00410B65" w:rsidRDefault="00410B65" w:rsidP="00410B65">
            <w:pPr>
              <w:suppressAutoHyphens w:val="0"/>
              <w:spacing w:after="0" w:line="240" w:lineRule="auto"/>
              <w:rPr>
                <w:rFonts w:ascii="Candara" w:hAnsi="Candara"/>
              </w:rPr>
            </w:pPr>
            <w:r w:rsidRPr="00410B65">
              <w:rPr>
                <w:rStyle w:val="fontstyle01"/>
                <w:rFonts w:ascii="Candara" w:hAnsi="Candara"/>
                <w:b w:val="0"/>
                <w:sz w:val="20"/>
                <w:szCs w:val="20"/>
              </w:rPr>
              <w:t>Test - 20 points</w:t>
            </w:r>
          </w:p>
          <w:p w:rsidR="00410B65" w:rsidRPr="00410B65" w:rsidRDefault="00410B65" w:rsidP="00410B65">
            <w:pPr>
              <w:suppressAutoHyphens w:val="0"/>
              <w:spacing w:after="0" w:line="240" w:lineRule="auto"/>
              <w:rPr>
                <w:rFonts w:ascii="Candara" w:hAnsi="Candara"/>
              </w:rPr>
            </w:pPr>
          </w:p>
          <w:p w:rsidR="00410B65" w:rsidRPr="00410B65" w:rsidRDefault="00410B65" w:rsidP="00410B65">
            <w:pPr>
              <w:suppressAutoHyphens w:val="0"/>
              <w:spacing w:after="0" w:line="240" w:lineRule="auto"/>
              <w:rPr>
                <w:rFonts w:ascii="Candara" w:hAnsi="Candara"/>
              </w:rPr>
            </w:pPr>
            <w:r w:rsidRPr="00410B65">
              <w:rPr>
                <w:rStyle w:val="fontstyle01"/>
                <w:rFonts w:ascii="Candara" w:hAnsi="Candara"/>
                <w:sz w:val="20"/>
                <w:szCs w:val="20"/>
              </w:rPr>
              <w:t>Final exam:</w:t>
            </w:r>
          </w:p>
          <w:p w:rsidR="00676A73" w:rsidRPr="00410B65" w:rsidRDefault="00410B65" w:rsidP="00410B65">
            <w:pPr>
              <w:tabs>
                <w:tab w:val="left" w:pos="360"/>
              </w:tabs>
              <w:spacing w:after="0" w:line="240" w:lineRule="auto"/>
              <w:jc w:val="left"/>
              <w:rPr>
                <w:rFonts w:ascii="Candara" w:hAnsi="Candara"/>
                <w:b/>
              </w:rPr>
            </w:pPr>
            <w:r w:rsidRPr="00410B65">
              <w:rPr>
                <w:rStyle w:val="fontstyle01"/>
                <w:rFonts w:ascii="Candara" w:hAnsi="Candara"/>
                <w:b w:val="0"/>
                <w:sz w:val="20"/>
                <w:szCs w:val="20"/>
              </w:rPr>
              <w:t>Oral exam – 50 points</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shd w:val="clear" w:color="auto" w:fill="B8CCE4"/>
            <w:vAlign w:val="center"/>
            <w:hideMark/>
          </w:tcPr>
          <w:p w:rsidR="00676A73" w:rsidRPr="00410B65" w:rsidRDefault="00676A73">
            <w:pPr>
              <w:tabs>
                <w:tab w:val="left" w:pos="360"/>
              </w:tabs>
              <w:spacing w:after="0" w:line="240" w:lineRule="auto"/>
              <w:jc w:val="left"/>
              <w:rPr>
                <w:rFonts w:ascii="Candara" w:hAnsi="Candara"/>
                <w:b/>
              </w:rPr>
            </w:pPr>
            <w:r w:rsidRPr="00410B65">
              <w:rPr>
                <w:rFonts w:ascii="Candara" w:hAnsi="Candara"/>
                <w:b/>
              </w:rPr>
              <w:t>LANGUAGE OF INSTRUCTION</w:t>
            </w:r>
          </w:p>
        </w:tc>
      </w:tr>
      <w:tr w:rsidR="00676A73" w:rsidRPr="00410B65" w:rsidTr="00676A73">
        <w:trPr>
          <w:trHeight w:val="562"/>
        </w:trPr>
        <w:tc>
          <w:tcPr>
            <w:tcW w:w="10440" w:type="dxa"/>
            <w:gridSpan w:val="4"/>
            <w:tcBorders>
              <w:top w:val="single" w:sz="4" w:space="0" w:color="auto"/>
              <w:left w:val="single" w:sz="4" w:space="0" w:color="auto"/>
              <w:bottom w:val="single" w:sz="4" w:space="0" w:color="auto"/>
              <w:right w:val="single" w:sz="4" w:space="0" w:color="auto"/>
            </w:tcBorders>
            <w:vAlign w:val="center"/>
          </w:tcPr>
          <w:p w:rsidR="00676A73" w:rsidRPr="00410B65" w:rsidRDefault="00676A73">
            <w:pPr>
              <w:tabs>
                <w:tab w:val="left" w:pos="360"/>
              </w:tabs>
              <w:spacing w:after="0" w:line="240" w:lineRule="auto"/>
              <w:jc w:val="left"/>
              <w:rPr>
                <w:rFonts w:ascii="Candara" w:hAnsi="Candara"/>
              </w:rPr>
            </w:pPr>
            <w:r w:rsidRPr="00410B65">
              <w:rPr>
                <w:rFonts w:ascii="Candara" w:hAnsi="Candara"/>
              </w:rPr>
              <w:t>English</w:t>
            </w:r>
          </w:p>
        </w:tc>
      </w:tr>
    </w:tbl>
    <w:p w:rsidR="00676A73" w:rsidRPr="00410B65" w:rsidRDefault="00676A73" w:rsidP="00676A73">
      <w:pPr>
        <w:ind w:left="1089"/>
        <w:rPr>
          <w:rFonts w:ascii="Candara" w:hAnsi="Candara"/>
        </w:rPr>
      </w:pPr>
    </w:p>
    <w:p w:rsidR="00676A73" w:rsidRPr="00410B65" w:rsidRDefault="00676A73" w:rsidP="00676A73">
      <w:pPr>
        <w:ind w:left="1089"/>
        <w:rPr>
          <w:rFonts w:ascii="Candara" w:hAnsi="Candara"/>
        </w:rPr>
      </w:pPr>
    </w:p>
    <w:p w:rsidR="00FD79B7" w:rsidRPr="00410B65" w:rsidRDefault="00FD79B7">
      <w:pPr>
        <w:rPr>
          <w:rFonts w:ascii="Candara" w:hAnsi="Candara"/>
        </w:rPr>
      </w:pPr>
      <w:bookmarkStart w:id="0" w:name="_GoBack"/>
      <w:bookmarkEnd w:id="0"/>
    </w:p>
    <w:sectPr w:rsidR="00FD79B7" w:rsidRPr="00410B65" w:rsidSect="00FD79B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41B" w:rsidRDefault="0070241B" w:rsidP="00676A73">
      <w:pPr>
        <w:spacing w:after="0" w:line="240" w:lineRule="auto"/>
      </w:pPr>
      <w:r>
        <w:separator/>
      </w:r>
    </w:p>
  </w:endnote>
  <w:endnote w:type="continuationSeparator" w:id="0">
    <w:p w:rsidR="0070241B" w:rsidRDefault="0070241B" w:rsidP="00676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41B" w:rsidRDefault="0070241B" w:rsidP="00676A73">
      <w:pPr>
        <w:spacing w:after="0" w:line="240" w:lineRule="auto"/>
      </w:pPr>
      <w:r>
        <w:separator/>
      </w:r>
    </w:p>
  </w:footnote>
  <w:footnote w:type="continuationSeparator" w:id="0">
    <w:p w:rsidR="0070241B" w:rsidRDefault="0070241B" w:rsidP="00676A73">
      <w:pPr>
        <w:spacing w:after="0" w:line="240" w:lineRule="auto"/>
      </w:pPr>
      <w:r>
        <w:continuationSeparator/>
      </w:r>
    </w:p>
  </w:footnote>
  <w:footnote w:id="1">
    <w:p w:rsidR="00676A73" w:rsidRDefault="00676A73" w:rsidP="00676A73">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Compulsory, optional</w:t>
      </w:r>
    </w:p>
  </w:footnote>
  <w:footnote w:id="2">
    <w:p w:rsidR="00676A73" w:rsidRDefault="00676A73" w:rsidP="00676A73">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First, second or third cycle (Bachelor, Master's, Doctoral)</w:t>
      </w:r>
    </w:p>
  </w:footnote>
  <w:footnote w:id="3">
    <w:p w:rsidR="00676A73" w:rsidRDefault="00676A73" w:rsidP="00676A73">
      <w:pPr>
        <w:pStyle w:val="FootnoteText"/>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w:t>
      </w:r>
      <w:proofErr w:type="gramStart"/>
      <w:r>
        <w:rPr>
          <w:rFonts w:ascii="Calibri" w:hAnsi="Calibri"/>
          <w:sz w:val="18"/>
          <w:szCs w:val="18"/>
        </w:rPr>
        <w:t>Face-to-face, distance learning, etc.</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959AB"/>
    <w:multiLevelType w:val="hybridMultilevel"/>
    <w:tmpl w:val="628AC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73"/>
    <w:rsid w:val="000528BC"/>
    <w:rsid w:val="00067D01"/>
    <w:rsid w:val="000B7854"/>
    <w:rsid w:val="00121AF6"/>
    <w:rsid w:val="00135BC5"/>
    <w:rsid w:val="00141C31"/>
    <w:rsid w:val="001653A2"/>
    <w:rsid w:val="001E4EEE"/>
    <w:rsid w:val="001F3123"/>
    <w:rsid w:val="00250F1B"/>
    <w:rsid w:val="002616DF"/>
    <w:rsid w:val="00263ECD"/>
    <w:rsid w:val="002826CF"/>
    <w:rsid w:val="002956FB"/>
    <w:rsid w:val="003414A2"/>
    <w:rsid w:val="00396650"/>
    <w:rsid w:val="00410B65"/>
    <w:rsid w:val="004210A0"/>
    <w:rsid w:val="004548E1"/>
    <w:rsid w:val="00455492"/>
    <w:rsid w:val="004A307A"/>
    <w:rsid w:val="004D5D18"/>
    <w:rsid w:val="004E4288"/>
    <w:rsid w:val="00511A53"/>
    <w:rsid w:val="00543C91"/>
    <w:rsid w:val="00544CF7"/>
    <w:rsid w:val="00647FC0"/>
    <w:rsid w:val="00651C43"/>
    <w:rsid w:val="006612AA"/>
    <w:rsid w:val="006729DB"/>
    <w:rsid w:val="00676A73"/>
    <w:rsid w:val="006E1107"/>
    <w:rsid w:val="0070241B"/>
    <w:rsid w:val="007B74C3"/>
    <w:rsid w:val="007E3BD3"/>
    <w:rsid w:val="007E7543"/>
    <w:rsid w:val="0080471E"/>
    <w:rsid w:val="00846457"/>
    <w:rsid w:val="00874423"/>
    <w:rsid w:val="008C7AEA"/>
    <w:rsid w:val="009006EE"/>
    <w:rsid w:val="00905B24"/>
    <w:rsid w:val="00931BD3"/>
    <w:rsid w:val="00950A7F"/>
    <w:rsid w:val="009E5AFD"/>
    <w:rsid w:val="00A247E4"/>
    <w:rsid w:val="00A31B1C"/>
    <w:rsid w:val="00A60B9C"/>
    <w:rsid w:val="00AD2126"/>
    <w:rsid w:val="00AE69F9"/>
    <w:rsid w:val="00B133F6"/>
    <w:rsid w:val="00B15993"/>
    <w:rsid w:val="00B3406E"/>
    <w:rsid w:val="00CD136F"/>
    <w:rsid w:val="00D17B63"/>
    <w:rsid w:val="00D20A50"/>
    <w:rsid w:val="00D40E40"/>
    <w:rsid w:val="00D61765"/>
    <w:rsid w:val="00D62F0E"/>
    <w:rsid w:val="00D6615C"/>
    <w:rsid w:val="00DB6A90"/>
    <w:rsid w:val="00DC6726"/>
    <w:rsid w:val="00DD3D32"/>
    <w:rsid w:val="00DF49E3"/>
    <w:rsid w:val="00E36C3A"/>
    <w:rsid w:val="00E540C1"/>
    <w:rsid w:val="00EA16E4"/>
    <w:rsid w:val="00F2704A"/>
    <w:rsid w:val="00F4147E"/>
    <w:rsid w:val="00F71A69"/>
    <w:rsid w:val="00F72971"/>
    <w:rsid w:val="00FD0F13"/>
    <w:rsid w:val="00FD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73"/>
    <w:pPr>
      <w:suppressAutoHyphens/>
      <w:spacing w:after="120" w:line="264" w:lineRule="auto"/>
      <w:jc w:val="both"/>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6A73"/>
    <w:pPr>
      <w:spacing w:after="0" w:line="240" w:lineRule="auto"/>
    </w:pPr>
  </w:style>
  <w:style w:type="character" w:customStyle="1" w:styleId="FootnoteTextChar">
    <w:name w:val="Footnote Text Char"/>
    <w:basedOn w:val="DefaultParagraphFont"/>
    <w:link w:val="FootnoteText"/>
    <w:uiPriority w:val="99"/>
    <w:semiHidden/>
    <w:rsid w:val="00676A73"/>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676A73"/>
    <w:rPr>
      <w:vertAlign w:val="superscript"/>
    </w:rPr>
  </w:style>
  <w:style w:type="paragraph" w:styleId="BalloonText">
    <w:name w:val="Balloon Text"/>
    <w:basedOn w:val="Normal"/>
    <w:link w:val="BalloonTextChar"/>
    <w:uiPriority w:val="99"/>
    <w:semiHidden/>
    <w:unhideWhenUsed/>
    <w:rsid w:val="00676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73"/>
    <w:rPr>
      <w:rFonts w:ascii="Tahoma" w:eastAsia="Times New Roman" w:hAnsi="Tahoma" w:cs="Tahoma"/>
      <w:sz w:val="16"/>
      <w:szCs w:val="16"/>
      <w:lang w:val="en-GB"/>
    </w:rPr>
  </w:style>
  <w:style w:type="character" w:customStyle="1" w:styleId="shorttext">
    <w:name w:val="short_text"/>
    <w:basedOn w:val="DefaultParagraphFont"/>
    <w:rsid w:val="001653A2"/>
  </w:style>
  <w:style w:type="paragraph" w:styleId="ListParagraph">
    <w:name w:val="List Paragraph"/>
    <w:basedOn w:val="Normal"/>
    <w:uiPriority w:val="34"/>
    <w:qFormat/>
    <w:rsid w:val="00A60B9C"/>
    <w:pPr>
      <w:ind w:left="720"/>
      <w:contextualSpacing/>
    </w:pPr>
  </w:style>
  <w:style w:type="character" w:customStyle="1" w:styleId="fontstyle01">
    <w:name w:val="fontstyle01"/>
    <w:rsid w:val="00410B65"/>
    <w:rPr>
      <w:rFonts w:ascii="Times New Roman" w:hAnsi="Times New Roman" w:cs="Times New Roman"/>
      <w:b/>
      <w:bCs/>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73"/>
    <w:pPr>
      <w:suppressAutoHyphens/>
      <w:spacing w:after="120" w:line="264" w:lineRule="auto"/>
      <w:jc w:val="both"/>
    </w:pPr>
    <w:rPr>
      <w:rFonts w:ascii="Arial" w:eastAsia="Times New Roman" w:hAnsi="Arial"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76A73"/>
    <w:pPr>
      <w:spacing w:after="0" w:line="240" w:lineRule="auto"/>
    </w:pPr>
  </w:style>
  <w:style w:type="character" w:customStyle="1" w:styleId="FootnoteTextChar">
    <w:name w:val="Footnote Text Char"/>
    <w:basedOn w:val="DefaultParagraphFont"/>
    <w:link w:val="FootnoteText"/>
    <w:uiPriority w:val="99"/>
    <w:semiHidden/>
    <w:rsid w:val="00676A73"/>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676A73"/>
    <w:rPr>
      <w:vertAlign w:val="superscript"/>
    </w:rPr>
  </w:style>
  <w:style w:type="paragraph" w:styleId="BalloonText">
    <w:name w:val="Balloon Text"/>
    <w:basedOn w:val="Normal"/>
    <w:link w:val="BalloonTextChar"/>
    <w:uiPriority w:val="99"/>
    <w:semiHidden/>
    <w:unhideWhenUsed/>
    <w:rsid w:val="00676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A73"/>
    <w:rPr>
      <w:rFonts w:ascii="Tahoma" w:eastAsia="Times New Roman" w:hAnsi="Tahoma" w:cs="Tahoma"/>
      <w:sz w:val="16"/>
      <w:szCs w:val="16"/>
      <w:lang w:val="en-GB"/>
    </w:rPr>
  </w:style>
  <w:style w:type="character" w:customStyle="1" w:styleId="shorttext">
    <w:name w:val="short_text"/>
    <w:basedOn w:val="DefaultParagraphFont"/>
    <w:rsid w:val="001653A2"/>
  </w:style>
  <w:style w:type="paragraph" w:styleId="ListParagraph">
    <w:name w:val="List Paragraph"/>
    <w:basedOn w:val="Normal"/>
    <w:uiPriority w:val="34"/>
    <w:qFormat/>
    <w:rsid w:val="00A60B9C"/>
    <w:pPr>
      <w:ind w:left="720"/>
      <w:contextualSpacing/>
    </w:pPr>
  </w:style>
  <w:style w:type="character" w:customStyle="1" w:styleId="fontstyle01">
    <w:name w:val="fontstyle01"/>
    <w:rsid w:val="00410B65"/>
    <w:rPr>
      <w:rFonts w:ascii="Times New Roman" w:hAnsi="Times New Roman" w:cs="Times New Roman"/>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16591">
      <w:bodyDiv w:val="1"/>
      <w:marLeft w:val="0"/>
      <w:marRight w:val="0"/>
      <w:marTop w:val="0"/>
      <w:marBottom w:val="0"/>
      <w:divBdr>
        <w:top w:val="none" w:sz="0" w:space="0" w:color="auto"/>
        <w:left w:val="none" w:sz="0" w:space="0" w:color="auto"/>
        <w:bottom w:val="none" w:sz="0" w:space="0" w:color="auto"/>
        <w:right w:val="none" w:sz="0" w:space="0" w:color="auto"/>
      </w:divBdr>
    </w:div>
    <w:div w:id="831719954">
      <w:bodyDiv w:val="1"/>
      <w:marLeft w:val="0"/>
      <w:marRight w:val="0"/>
      <w:marTop w:val="0"/>
      <w:marBottom w:val="0"/>
      <w:divBdr>
        <w:top w:val="none" w:sz="0" w:space="0" w:color="auto"/>
        <w:left w:val="none" w:sz="0" w:space="0" w:color="auto"/>
        <w:bottom w:val="none" w:sz="0" w:space="0" w:color="auto"/>
        <w:right w:val="none" w:sz="0" w:space="0" w:color="auto"/>
      </w:divBdr>
      <w:divsChild>
        <w:div w:id="459032235">
          <w:marLeft w:val="0"/>
          <w:marRight w:val="0"/>
          <w:marTop w:val="0"/>
          <w:marBottom w:val="0"/>
          <w:divBdr>
            <w:top w:val="none" w:sz="0" w:space="0" w:color="auto"/>
            <w:left w:val="none" w:sz="0" w:space="0" w:color="auto"/>
            <w:bottom w:val="none" w:sz="0" w:space="0" w:color="auto"/>
            <w:right w:val="none" w:sz="0" w:space="0" w:color="auto"/>
          </w:divBdr>
          <w:divsChild>
            <w:div w:id="17706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dc:creator>
  <cp:lastModifiedBy>Pc</cp:lastModifiedBy>
  <cp:revision>3</cp:revision>
  <dcterms:created xsi:type="dcterms:W3CDTF">2023-01-17T08:18:00Z</dcterms:created>
  <dcterms:modified xsi:type="dcterms:W3CDTF">2023-01-17T09:35:00Z</dcterms:modified>
</cp:coreProperties>
</file>